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BC8B" w14:textId="77777777" w:rsidR="008E0422" w:rsidRPr="008E0422" w:rsidRDefault="008E0422" w:rsidP="008E0422">
      <w:pPr>
        <w:jc w:val="center"/>
        <w:rPr>
          <w:rFonts w:ascii="Calibri" w:hAnsi="Calibri" w:cs="Calibri"/>
          <w:color w:val="002060"/>
          <w:sz w:val="32"/>
          <w:szCs w:val="32"/>
          <w:lang w:bidi="ar-EG"/>
        </w:rPr>
      </w:pPr>
      <w:r w:rsidRPr="008E0422">
        <w:rPr>
          <w:rFonts w:ascii="Calibri" w:hAnsi="Calibri" w:cs="Calibri"/>
          <w:b/>
          <w:bCs/>
          <w:color w:val="002060"/>
          <w:sz w:val="32"/>
          <w:szCs w:val="32"/>
          <w:rtl/>
        </w:rPr>
        <w:t>الدليل الشامل لأدوات التحليل المالي</w:t>
      </w:r>
    </w:p>
    <w:p w14:paraId="64C8057F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0070C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1. مقدمة عن التحليل المالي وأهميته</w:t>
      </w:r>
    </w:p>
    <w:p w14:paraId="6887D3A4" w14:textId="5C37B7CB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التحليل المالي هو عملية فحص البيانات المالية للشركة لتقييم أدائها السابق، ووضعها الحالي، وتوقعاتها المستقبلية</w:t>
      </w:r>
      <w:r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يهدف هذا العلم إلى تحويل الأرقام الخام الواردة في القوائم المالية إلى معلومات ذات دلالة تساهم في اتخاذ قرارات رشيدة.</w:t>
      </w:r>
    </w:p>
    <w:p w14:paraId="3DCF3A1B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أهمية التحليل المالي للشركات:</w:t>
      </w:r>
    </w:p>
    <w:p w14:paraId="51F4FD7E" w14:textId="77777777" w:rsidR="008E0422" w:rsidRPr="008E0422" w:rsidRDefault="008E0422">
      <w:pPr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تقييم الأداء:</w:t>
      </w:r>
      <w:r w:rsidRPr="008E0422">
        <w:rPr>
          <w:rFonts w:ascii="Calibri" w:hAnsi="Calibri" w:cs="Calibri"/>
          <w:sz w:val="28"/>
          <w:szCs w:val="28"/>
          <w:rtl/>
        </w:rPr>
        <w:t xml:space="preserve"> قياس مدى نجاح الإدارة في استغلال الموارد المتاحة.</w:t>
      </w:r>
    </w:p>
    <w:p w14:paraId="3EADA2E4" w14:textId="77777777" w:rsidR="008E0422" w:rsidRPr="008E0422" w:rsidRDefault="008E0422">
      <w:pPr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التخطيط الاستراتيجي:</w:t>
      </w:r>
      <w:r w:rsidRPr="008E0422">
        <w:rPr>
          <w:rFonts w:ascii="Calibri" w:hAnsi="Calibri" w:cs="Calibri"/>
          <w:sz w:val="28"/>
          <w:szCs w:val="28"/>
          <w:rtl/>
        </w:rPr>
        <w:t xml:space="preserve"> بناء الموازنات التقديرية وتحديد الأهداف المستقبلية.</w:t>
      </w:r>
    </w:p>
    <w:p w14:paraId="264ECFAF" w14:textId="77777777" w:rsidR="008E0422" w:rsidRPr="008E0422" w:rsidRDefault="008E0422">
      <w:pPr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الرقابة المالية:</w:t>
      </w:r>
      <w:r w:rsidRPr="008E0422">
        <w:rPr>
          <w:rFonts w:ascii="Calibri" w:hAnsi="Calibri" w:cs="Calibri"/>
          <w:sz w:val="28"/>
          <w:szCs w:val="28"/>
          <w:rtl/>
        </w:rPr>
        <w:t xml:space="preserve"> اكتشاف الانحرافات بين النتائج الفعلية والمخطط لها.</w:t>
      </w:r>
    </w:p>
    <w:p w14:paraId="388231A9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أهمية التحليل المالي للمستثمرين:</w:t>
      </w:r>
    </w:p>
    <w:p w14:paraId="75B7E600" w14:textId="77777777" w:rsidR="008E0422" w:rsidRPr="008E0422" w:rsidRDefault="008E0422">
      <w:pPr>
        <w:numPr>
          <w:ilvl w:val="0"/>
          <w:numId w:val="2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تقدير العوائد:</w:t>
      </w:r>
      <w:r w:rsidRPr="008E0422">
        <w:rPr>
          <w:rFonts w:ascii="Calibri" w:hAnsi="Calibri" w:cs="Calibri"/>
          <w:sz w:val="28"/>
          <w:szCs w:val="28"/>
          <w:rtl/>
        </w:rPr>
        <w:t xml:space="preserve"> التنبؤ بالأرباح المستقبلية وتوزيعات الأرباح.</w:t>
      </w:r>
    </w:p>
    <w:p w14:paraId="2AFF8463" w14:textId="77777777" w:rsidR="008E0422" w:rsidRPr="008E0422" w:rsidRDefault="008E0422">
      <w:pPr>
        <w:numPr>
          <w:ilvl w:val="0"/>
          <w:numId w:val="2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إدارة المخاطر:</w:t>
      </w:r>
      <w:r w:rsidRPr="008E0422">
        <w:rPr>
          <w:rFonts w:ascii="Calibri" w:hAnsi="Calibri" w:cs="Calibri"/>
          <w:sz w:val="28"/>
          <w:szCs w:val="28"/>
          <w:rtl/>
        </w:rPr>
        <w:t xml:space="preserve"> تقييم مدى قدرة الشركة على مواجهة الأزمات المالية أو سداد ديونها.</w:t>
      </w:r>
    </w:p>
    <w:p w14:paraId="2786A382" w14:textId="77777777" w:rsidR="008E0422" w:rsidRPr="008E0422" w:rsidRDefault="008E0422">
      <w:pPr>
        <w:numPr>
          <w:ilvl w:val="0"/>
          <w:numId w:val="2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اتخاذ قرار الاستثمار:</w:t>
      </w:r>
      <w:r w:rsidRPr="008E0422">
        <w:rPr>
          <w:rFonts w:ascii="Calibri" w:hAnsi="Calibri" w:cs="Calibri"/>
          <w:sz w:val="28"/>
          <w:szCs w:val="28"/>
          <w:rtl/>
        </w:rPr>
        <w:t xml:space="preserve"> تحديد القيمة العادلة للسهم وما إذا كان الاستثمار مجدياً أم لا.</w:t>
      </w:r>
    </w:p>
    <w:p w14:paraId="733B6806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0070C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2. التحليل الرأسي والأفقي (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lang w:bidi="ar-EG"/>
        </w:rPr>
        <w:t>Vertical and Horizontal Analysis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)</w:t>
      </w:r>
    </w:p>
    <w:p w14:paraId="4912980E" w14:textId="77777777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يعتبر التحليل الرأسي والأفقي من أولى الخطوات التي يقوم بها المحلل المالي لفهم هيكل القوائم المالية وتطورها عبر الزمن.</w:t>
      </w:r>
    </w:p>
    <w:p w14:paraId="69601DE3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التحليل الرأسي (</w:t>
      </w: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Vertical Analysis</w:t>
      </w:r>
      <w:r w:rsidRPr="008E0422">
        <w:rPr>
          <w:rFonts w:ascii="Calibri" w:hAnsi="Calibri" w:cs="Calibri"/>
          <w:b/>
          <w:bCs/>
          <w:sz w:val="28"/>
          <w:szCs w:val="28"/>
          <w:rtl/>
        </w:rPr>
        <w:t>)</w:t>
      </w:r>
    </w:p>
    <w:p w14:paraId="45FE40FB" w14:textId="7B5D105B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يتم فيه نسب كل بند من بنود القائمة المالية إلى بند أساسي في نفس العام.</w:t>
      </w:r>
    </w:p>
    <w:p w14:paraId="460FB6F3" w14:textId="77777777" w:rsidR="008E0422" w:rsidRPr="008E0422" w:rsidRDefault="008E0422">
      <w:pPr>
        <w:numPr>
          <w:ilvl w:val="0"/>
          <w:numId w:val="3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في قائمة المركز المالي:</w:t>
      </w:r>
      <w:r w:rsidRPr="008E0422">
        <w:rPr>
          <w:rFonts w:ascii="Calibri" w:hAnsi="Calibri" w:cs="Calibri"/>
          <w:sz w:val="28"/>
          <w:szCs w:val="28"/>
          <w:rtl/>
        </w:rPr>
        <w:t xml:space="preserve"> تُنسب جميع الأصول والخصوم إلى "إجمالي الأصول".</w:t>
      </w:r>
    </w:p>
    <w:p w14:paraId="63EA52FB" w14:textId="77777777" w:rsidR="008E0422" w:rsidRPr="008E0422" w:rsidRDefault="008E0422">
      <w:pPr>
        <w:numPr>
          <w:ilvl w:val="0"/>
          <w:numId w:val="3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في قائمة الدخل:</w:t>
      </w:r>
      <w:r w:rsidRPr="008E0422">
        <w:rPr>
          <w:rFonts w:ascii="Calibri" w:hAnsi="Calibri" w:cs="Calibri"/>
          <w:sz w:val="28"/>
          <w:szCs w:val="28"/>
          <w:rtl/>
        </w:rPr>
        <w:t xml:space="preserve"> تُنسب جميع المصاريف والأرباح إلى "صافي المبيعات".</w:t>
      </w:r>
    </w:p>
    <w:p w14:paraId="2F7E44B2" w14:textId="77777777" w:rsidR="008E0422" w:rsidRPr="008E0422" w:rsidRDefault="008E0422">
      <w:pPr>
        <w:numPr>
          <w:ilvl w:val="0"/>
          <w:numId w:val="3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الهدف:</w:t>
      </w:r>
      <w:r w:rsidRPr="008E0422">
        <w:rPr>
          <w:rFonts w:ascii="Calibri" w:hAnsi="Calibri" w:cs="Calibri"/>
          <w:sz w:val="28"/>
          <w:szCs w:val="28"/>
          <w:rtl/>
        </w:rPr>
        <w:t xml:space="preserve"> فهم الأهمية النسبية لكل عنصر وتكوين الهيكل المالي للشركة.</w:t>
      </w:r>
    </w:p>
    <w:p w14:paraId="1A1E2E84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التحليل الأفقي (</w:t>
      </w: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Horizontal Analysis</w:t>
      </w:r>
      <w:r w:rsidRPr="008E0422">
        <w:rPr>
          <w:rFonts w:ascii="Calibri" w:hAnsi="Calibri" w:cs="Calibri"/>
          <w:b/>
          <w:bCs/>
          <w:sz w:val="28"/>
          <w:szCs w:val="28"/>
          <w:rtl/>
        </w:rPr>
        <w:t>)</w:t>
      </w:r>
    </w:p>
    <w:p w14:paraId="12EB4D3B" w14:textId="13EC41F5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يُعرف بتحليل الاتجاه (</w:t>
      </w:r>
      <w:r w:rsidRPr="008E0422">
        <w:rPr>
          <w:rFonts w:ascii="Calibri" w:hAnsi="Calibri" w:cs="Calibri"/>
          <w:sz w:val="28"/>
          <w:szCs w:val="28"/>
          <w:lang w:bidi="ar-EG"/>
        </w:rPr>
        <w:t>Trend Analysis</w:t>
      </w:r>
      <w:r w:rsidRPr="008E0422">
        <w:rPr>
          <w:rFonts w:ascii="Calibri" w:hAnsi="Calibri" w:cs="Calibri"/>
          <w:sz w:val="28"/>
          <w:szCs w:val="28"/>
          <w:rtl/>
        </w:rPr>
        <w:t>)</w:t>
      </w:r>
      <w:r w:rsidR="00F0655E">
        <w:rPr>
          <w:rFonts w:ascii="Calibri" w:hAnsi="Calibri" w:cs="Calibri" w:hint="cs"/>
          <w:sz w:val="28"/>
          <w:szCs w:val="28"/>
          <w:rtl/>
        </w:rPr>
        <w:t>؛</w:t>
      </w:r>
      <w:r w:rsidRPr="008E0422">
        <w:rPr>
          <w:rFonts w:ascii="Calibri" w:hAnsi="Calibri" w:cs="Calibri"/>
          <w:sz w:val="28"/>
          <w:szCs w:val="28"/>
          <w:rtl/>
        </w:rPr>
        <w:t xml:space="preserve"> حيث تتم مقارنة أداء الشركة عبر فترات زمنية متتالية.</w:t>
      </w:r>
    </w:p>
    <w:p w14:paraId="67FE8AA7" w14:textId="77777777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lang w:bidi="ar-EG"/>
        </w:rPr>
        <w:lastRenderedPageBreak/>
        <w:br/>
      </w:r>
    </w:p>
    <w:p w14:paraId="2B1A07AE" w14:textId="77777777" w:rsidR="008E0422" w:rsidRPr="008E0422" w:rsidRDefault="008E0422">
      <w:pPr>
        <w:numPr>
          <w:ilvl w:val="0"/>
          <w:numId w:val="4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طريقة الحساب:</w:t>
      </w:r>
      <w:r w:rsidRPr="008E0422">
        <w:rPr>
          <w:rFonts w:ascii="Calibri" w:hAnsi="Calibri" w:cs="Calibri"/>
          <w:sz w:val="28"/>
          <w:szCs w:val="28"/>
          <w:rtl/>
        </w:rPr>
        <w:t xml:space="preserve"> (القيمة في سنة المقارنة - القيمة في سنة الأساس) ÷ القيمة في سنة الأساس.</w:t>
      </w:r>
    </w:p>
    <w:p w14:paraId="20A55DFA" w14:textId="77777777" w:rsidR="008E0422" w:rsidRPr="008E0422" w:rsidRDefault="008E0422">
      <w:pPr>
        <w:numPr>
          <w:ilvl w:val="0"/>
          <w:numId w:val="4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الهدف:</w:t>
      </w:r>
      <w:r w:rsidRPr="008E0422">
        <w:rPr>
          <w:rFonts w:ascii="Calibri" w:hAnsi="Calibri" w:cs="Calibri"/>
          <w:sz w:val="28"/>
          <w:szCs w:val="28"/>
          <w:rtl/>
        </w:rPr>
        <w:t xml:space="preserve"> رصد معدلات النمو أو التراجع في البنود المالية المختلفة عبر الزمن.</w:t>
      </w:r>
    </w:p>
    <w:p w14:paraId="03130967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الفرق بينهما في جدول:</w:t>
      </w:r>
    </w:p>
    <w:tbl>
      <w:tblPr>
        <w:tblStyle w:val="ListTable3-Accent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58"/>
        <w:gridCol w:w="2578"/>
        <w:gridCol w:w="2395"/>
      </w:tblGrid>
      <w:tr w:rsidR="008E0422" w:rsidRPr="008E0422" w14:paraId="18FACDE3" w14:textId="77777777" w:rsidTr="008E04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0C5C7622" w14:textId="77777777" w:rsidR="008E0422" w:rsidRPr="008E0422" w:rsidRDefault="008E0422" w:rsidP="008E0422">
            <w:pPr>
              <w:spacing w:after="160" w:line="259" w:lineRule="auto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وجه المقارنة</w:t>
            </w:r>
          </w:p>
        </w:tc>
        <w:tc>
          <w:tcPr>
            <w:tcW w:w="0" w:type="auto"/>
            <w:hideMark/>
          </w:tcPr>
          <w:p w14:paraId="522CB54B" w14:textId="77777777" w:rsidR="008E0422" w:rsidRPr="008E0422" w:rsidRDefault="008E0422" w:rsidP="008E042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التحليل الرأسي</w:t>
            </w:r>
          </w:p>
        </w:tc>
        <w:tc>
          <w:tcPr>
            <w:tcW w:w="0" w:type="auto"/>
            <w:hideMark/>
          </w:tcPr>
          <w:p w14:paraId="1833DEE6" w14:textId="77777777" w:rsidR="008E0422" w:rsidRPr="008E0422" w:rsidRDefault="008E0422" w:rsidP="008E042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التحليل الأفقي</w:t>
            </w:r>
          </w:p>
        </w:tc>
      </w:tr>
      <w:tr w:rsidR="008E0422" w:rsidRPr="008E0422" w14:paraId="3DCFD8BB" w14:textId="77777777" w:rsidTr="008E0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B93702" w14:textId="77777777" w:rsidR="008E0422" w:rsidRPr="008E0422" w:rsidRDefault="008E0422" w:rsidP="008E0422">
            <w:pPr>
              <w:spacing w:after="160" w:line="259" w:lineRule="auto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النطاق الزمني</w:t>
            </w:r>
          </w:p>
        </w:tc>
        <w:tc>
          <w:tcPr>
            <w:tcW w:w="0" w:type="auto"/>
            <w:hideMark/>
          </w:tcPr>
          <w:p w14:paraId="248034C0" w14:textId="77777777" w:rsidR="008E0422" w:rsidRPr="008E0422" w:rsidRDefault="008E0422" w:rsidP="008E042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فترة مالية واحدة</w:t>
            </w:r>
          </w:p>
        </w:tc>
        <w:tc>
          <w:tcPr>
            <w:tcW w:w="0" w:type="auto"/>
            <w:hideMark/>
          </w:tcPr>
          <w:p w14:paraId="6574683D" w14:textId="77777777" w:rsidR="008E0422" w:rsidRPr="008E0422" w:rsidRDefault="008E0422" w:rsidP="008E042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فترات مالية متعددة</w:t>
            </w:r>
          </w:p>
        </w:tc>
      </w:tr>
      <w:tr w:rsidR="008E0422" w:rsidRPr="008E0422" w14:paraId="68B146F2" w14:textId="77777777" w:rsidTr="008E042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BA5F57" w14:textId="77777777" w:rsidR="008E0422" w:rsidRPr="008E0422" w:rsidRDefault="008E0422" w:rsidP="008E0422">
            <w:pPr>
              <w:spacing w:after="160" w:line="259" w:lineRule="auto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الأساس</w:t>
            </w:r>
          </w:p>
        </w:tc>
        <w:tc>
          <w:tcPr>
            <w:tcW w:w="0" w:type="auto"/>
            <w:hideMark/>
          </w:tcPr>
          <w:p w14:paraId="2DE86B8B" w14:textId="77777777" w:rsidR="008E0422" w:rsidRPr="008E0422" w:rsidRDefault="008E0422" w:rsidP="008E042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بند رئيسي (مثل المبيعات)</w:t>
            </w:r>
          </w:p>
        </w:tc>
        <w:tc>
          <w:tcPr>
            <w:tcW w:w="0" w:type="auto"/>
            <w:hideMark/>
          </w:tcPr>
          <w:p w14:paraId="48726C4B" w14:textId="77777777" w:rsidR="008E0422" w:rsidRPr="008E0422" w:rsidRDefault="008E0422" w:rsidP="008E042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سنة الأساس التاريخية</w:t>
            </w:r>
          </w:p>
        </w:tc>
      </w:tr>
      <w:tr w:rsidR="008E0422" w:rsidRPr="008E0422" w14:paraId="3D8193C1" w14:textId="77777777" w:rsidTr="008E0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FB999D" w14:textId="77777777" w:rsidR="008E0422" w:rsidRPr="008E0422" w:rsidRDefault="008E0422" w:rsidP="008E0422">
            <w:pPr>
              <w:spacing w:after="160" w:line="259" w:lineRule="auto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الوظيفة</w:t>
            </w:r>
          </w:p>
        </w:tc>
        <w:tc>
          <w:tcPr>
            <w:tcW w:w="0" w:type="auto"/>
            <w:hideMark/>
          </w:tcPr>
          <w:p w14:paraId="164104DD" w14:textId="77777777" w:rsidR="008E0422" w:rsidRPr="008E0422" w:rsidRDefault="008E0422" w:rsidP="008E042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تحليل الهيكل الداخلي</w:t>
            </w:r>
          </w:p>
        </w:tc>
        <w:tc>
          <w:tcPr>
            <w:tcW w:w="0" w:type="auto"/>
            <w:hideMark/>
          </w:tcPr>
          <w:p w14:paraId="57644A41" w14:textId="77777777" w:rsidR="008E0422" w:rsidRPr="008E0422" w:rsidRDefault="008E0422" w:rsidP="008E042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</w:rPr>
            </w:pPr>
            <w:r w:rsidRPr="008E0422">
              <w:rPr>
                <w:rFonts w:ascii="Calibri" w:hAnsi="Calibri" w:cs="Calibri"/>
                <w:sz w:val="28"/>
                <w:szCs w:val="28"/>
                <w:rtl/>
              </w:rPr>
              <w:t>تحليل النمو والاتجاهات</w:t>
            </w:r>
          </w:p>
        </w:tc>
      </w:tr>
    </w:tbl>
    <w:p w14:paraId="21A2D184" w14:textId="6A4055C8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0070C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3. النسب المالية الأساسية (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lang w:bidi="ar-EG"/>
        </w:rPr>
        <w:t>Financial Ratios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)</w:t>
      </w:r>
    </w:p>
    <w:p w14:paraId="4B3EBC93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EAB20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أولاً: نسب الربحية (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lang w:bidi="ar-EG"/>
        </w:rPr>
        <w:t>Profitability Ratios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)</w:t>
      </w:r>
    </w:p>
    <w:p w14:paraId="4DED6CEB" w14:textId="2DF7FFF6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تقيس قدرة الشركة على توليد الأرباح مقارنة بمبيعاتها أو أصولها أو حقوق ملكيتها.</w:t>
      </w:r>
    </w:p>
    <w:p w14:paraId="2878518F" w14:textId="75EBA21A" w:rsidR="008E0422" w:rsidRPr="008E0422" w:rsidRDefault="008E0422">
      <w:pPr>
        <w:numPr>
          <w:ilvl w:val="0"/>
          <w:numId w:val="5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هامش صافي الربح:</w:t>
      </w:r>
      <w:r w:rsidRPr="008E0422">
        <w:rPr>
          <w:rFonts w:ascii="Calibri" w:hAnsi="Calibri" w:cs="Calibri"/>
          <w:sz w:val="28"/>
          <w:szCs w:val="28"/>
          <w:rtl/>
        </w:rPr>
        <w:t xml:space="preserve"> (صافي الربح ÷ المبيعات) × 100</w:t>
      </w:r>
      <w:r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يوضح نسبة ما يتبقى للشركة من كل ريال مبيعات بعد خصم كافة المصاريف.</w:t>
      </w:r>
    </w:p>
    <w:p w14:paraId="2ADD9ACA" w14:textId="02A3AA5F" w:rsidR="008E0422" w:rsidRPr="008E0422" w:rsidRDefault="008E0422">
      <w:pPr>
        <w:numPr>
          <w:ilvl w:val="0"/>
          <w:numId w:val="5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العائد على الاستثمار (</w:t>
      </w: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ROI</w:t>
      </w:r>
      <w:r w:rsidRPr="008E0422">
        <w:rPr>
          <w:rFonts w:ascii="Calibri" w:hAnsi="Calibri" w:cs="Calibri"/>
          <w:b/>
          <w:bCs/>
          <w:sz w:val="28"/>
          <w:szCs w:val="28"/>
          <w:rtl/>
        </w:rPr>
        <w:t>):</w:t>
      </w:r>
      <w:r w:rsidRPr="008E0422">
        <w:rPr>
          <w:rFonts w:ascii="Calibri" w:hAnsi="Calibri" w:cs="Calibri"/>
          <w:sz w:val="28"/>
          <w:szCs w:val="28"/>
          <w:rtl/>
        </w:rPr>
        <w:t xml:space="preserve"> (صافي الربح ÷ إجمالي الاستثمار) × 100</w:t>
      </w:r>
      <w:r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يقيس كفاءة استثمار رأس المال.</w:t>
      </w:r>
    </w:p>
    <w:p w14:paraId="128807EF" w14:textId="09F42DB2" w:rsidR="008E0422" w:rsidRDefault="008E0422">
      <w:pPr>
        <w:numPr>
          <w:ilvl w:val="0"/>
          <w:numId w:val="5"/>
        </w:numPr>
        <w:jc w:val="both"/>
        <w:rPr>
          <w:rFonts w:ascii="Calibri" w:hAnsi="Calibri" w:cs="Calibri"/>
          <w:sz w:val="28"/>
          <w:szCs w:val="28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العائد على حقوق الملكية (</w:t>
      </w: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ROE</w:t>
      </w:r>
      <w:r w:rsidRPr="008E0422">
        <w:rPr>
          <w:rFonts w:ascii="Calibri" w:hAnsi="Calibri" w:cs="Calibri"/>
          <w:b/>
          <w:bCs/>
          <w:sz w:val="28"/>
          <w:szCs w:val="28"/>
          <w:rtl/>
        </w:rPr>
        <w:t>):</w:t>
      </w:r>
      <w:r w:rsidRPr="008E0422">
        <w:rPr>
          <w:rFonts w:ascii="Calibri" w:hAnsi="Calibri" w:cs="Calibri"/>
          <w:sz w:val="28"/>
          <w:szCs w:val="28"/>
          <w:rtl/>
        </w:rPr>
        <w:t xml:space="preserve"> (صافي الربح ÷ حقوق المساهمين) × 100</w:t>
      </w:r>
      <w:r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يقيس الربح الذي يحققه الملاك من أموالهم المستثمرة.</w:t>
      </w:r>
    </w:p>
    <w:p w14:paraId="011BB668" w14:textId="77777777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</w:p>
    <w:p w14:paraId="07A5196B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EAB20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ثانياً: نسب السيولة (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lang w:bidi="ar-EG"/>
        </w:rPr>
        <w:t>Liquidity Ratios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)</w:t>
      </w:r>
    </w:p>
    <w:p w14:paraId="454E4092" w14:textId="7A95FFFA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تقيس قدرة الشركة على الوفاء بالتزاماتها قصيرة الأجل عند استحقاقها.</w:t>
      </w:r>
    </w:p>
    <w:p w14:paraId="660FFB7A" w14:textId="3171BABA" w:rsidR="008E0422" w:rsidRPr="008E0422" w:rsidRDefault="008E0422">
      <w:pPr>
        <w:numPr>
          <w:ilvl w:val="0"/>
          <w:numId w:val="6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النسبة الجارية (</w:t>
      </w: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Current Ratio</w:t>
      </w:r>
      <w:r w:rsidRPr="008E0422">
        <w:rPr>
          <w:rFonts w:ascii="Calibri" w:hAnsi="Calibri" w:cs="Calibri"/>
          <w:b/>
          <w:bCs/>
          <w:sz w:val="28"/>
          <w:szCs w:val="28"/>
          <w:rtl/>
        </w:rPr>
        <w:t>):</w:t>
      </w:r>
      <w:r w:rsidRPr="008E0422">
        <w:rPr>
          <w:rFonts w:ascii="Calibri" w:hAnsi="Calibri" w:cs="Calibri"/>
          <w:sz w:val="28"/>
          <w:szCs w:val="28"/>
          <w:rtl/>
        </w:rPr>
        <w:t xml:space="preserve"> الأصول المتداولة ÷ الالتزامات المتداولة</w:t>
      </w:r>
      <w:r w:rsidR="00F0655E"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المعيار المثالي غالباً ما يكون 2:1.</w:t>
      </w:r>
    </w:p>
    <w:p w14:paraId="0E2F5A61" w14:textId="438DE36C" w:rsidR="008E0422" w:rsidRPr="008E0422" w:rsidRDefault="008E0422">
      <w:pPr>
        <w:numPr>
          <w:ilvl w:val="0"/>
          <w:numId w:val="6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lastRenderedPageBreak/>
        <w:t>النسبة السريعة (</w:t>
      </w: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Quick Ratio</w:t>
      </w:r>
      <w:r w:rsidRPr="008E0422">
        <w:rPr>
          <w:rFonts w:ascii="Calibri" w:hAnsi="Calibri" w:cs="Calibri"/>
          <w:b/>
          <w:bCs/>
          <w:sz w:val="28"/>
          <w:szCs w:val="28"/>
          <w:rtl/>
        </w:rPr>
        <w:t>):</w:t>
      </w:r>
      <w:r w:rsidRPr="008E0422">
        <w:rPr>
          <w:rFonts w:ascii="Calibri" w:hAnsi="Calibri" w:cs="Calibri"/>
          <w:sz w:val="28"/>
          <w:szCs w:val="28"/>
          <w:rtl/>
        </w:rPr>
        <w:t xml:space="preserve"> (الأصول المتداولة - المخزون) ÷ الالتزامات المتداولة</w:t>
      </w:r>
      <w:r w:rsidR="00F0655E"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 w:rsidR="00F0655E"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تعبر عن قدرة الشركة على السداد دون الحاجة لبيع المخزون.</w:t>
      </w:r>
    </w:p>
    <w:p w14:paraId="49AAF3A9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EAB20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ثالثاً: نسب النشاط والدوران (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lang w:bidi="ar-EG"/>
        </w:rPr>
        <w:t>Activity/Efficiency Ratios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)</w:t>
      </w:r>
    </w:p>
    <w:p w14:paraId="7AF76257" w14:textId="39515BB4" w:rsidR="008E0422" w:rsidRPr="008E0422" w:rsidRDefault="008E0422" w:rsidP="008E0422">
      <w:pPr>
        <w:jc w:val="both"/>
        <w:rPr>
          <w:rFonts w:ascii="Calibri" w:hAnsi="Calibri" w:cs="Calibri" w:hint="cs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تقيس مدى كفاءة الشركة في إدارة أصولها ومواردها.</w:t>
      </w:r>
    </w:p>
    <w:p w14:paraId="7F848A8E" w14:textId="677C4974" w:rsidR="008E0422" w:rsidRPr="008E0422" w:rsidRDefault="008E0422">
      <w:pPr>
        <w:numPr>
          <w:ilvl w:val="0"/>
          <w:numId w:val="7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معدل دوران المخزون:</w:t>
      </w:r>
      <w:r w:rsidRPr="008E0422">
        <w:rPr>
          <w:rFonts w:ascii="Calibri" w:hAnsi="Calibri" w:cs="Calibri"/>
          <w:sz w:val="28"/>
          <w:szCs w:val="28"/>
          <w:rtl/>
        </w:rPr>
        <w:t xml:space="preserve"> تكلفة البضاعة المباعة ÷ متوسط المخزون</w:t>
      </w:r>
      <w:r w:rsidR="00F0655E"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 w:rsidR="00F0655E"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يوضح كم مرة تم بيع واستبدال المخزون خلال العام.</w:t>
      </w:r>
    </w:p>
    <w:p w14:paraId="1AC4599B" w14:textId="027F1667" w:rsidR="008E0422" w:rsidRDefault="008E0422">
      <w:pPr>
        <w:numPr>
          <w:ilvl w:val="0"/>
          <w:numId w:val="7"/>
        </w:numPr>
        <w:jc w:val="both"/>
        <w:rPr>
          <w:rFonts w:ascii="Calibri" w:hAnsi="Calibri" w:cs="Calibri"/>
          <w:sz w:val="28"/>
          <w:szCs w:val="28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معدل دوران الحسابات المدينة:</w:t>
      </w:r>
      <w:r w:rsidRPr="008E0422">
        <w:rPr>
          <w:rFonts w:ascii="Calibri" w:hAnsi="Calibri" w:cs="Calibri"/>
          <w:sz w:val="28"/>
          <w:szCs w:val="28"/>
          <w:rtl/>
        </w:rPr>
        <w:t xml:space="preserve"> صافي المبيعات الآجلة ÷ متوسط المدينين</w:t>
      </w:r>
      <w:r w:rsidR="00F0655E"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 w:rsidR="00F0655E"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يقيس كفاءة الشركة في تحصيل ديونها من العملاء.</w:t>
      </w:r>
    </w:p>
    <w:p w14:paraId="54374DE9" w14:textId="77777777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</w:p>
    <w:p w14:paraId="79AE5810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EAB20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رابعاً: نسب المديونية والتغطية (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lang w:bidi="ar-EG"/>
        </w:rPr>
        <w:t>Leverage Ratios</w:t>
      </w:r>
      <w:r w:rsidRPr="008E0422">
        <w:rPr>
          <w:rFonts w:ascii="Calibri" w:hAnsi="Calibri" w:cs="Calibri"/>
          <w:b/>
          <w:bCs/>
          <w:color w:val="EAB200"/>
          <w:sz w:val="28"/>
          <w:szCs w:val="28"/>
          <w:rtl/>
        </w:rPr>
        <w:t>)</w:t>
      </w:r>
    </w:p>
    <w:p w14:paraId="1E09DACA" w14:textId="7BF81719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تقيس مدى اعتماد الشركة على الديون في تمويل أصولها وقدرتها على سداد فوائد تلك الديون.</w:t>
      </w:r>
    </w:p>
    <w:p w14:paraId="7B1B4ADA" w14:textId="7BF408B4" w:rsidR="008E0422" w:rsidRPr="008E0422" w:rsidRDefault="008E0422">
      <w:pPr>
        <w:numPr>
          <w:ilvl w:val="0"/>
          <w:numId w:val="8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نسبة الدين إلى حقوق الملكية (</w:t>
      </w: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D/E</w:t>
      </w:r>
      <w:r w:rsidRPr="008E0422">
        <w:rPr>
          <w:rFonts w:ascii="Calibri" w:hAnsi="Calibri" w:cs="Calibri"/>
          <w:b/>
          <w:bCs/>
          <w:sz w:val="28"/>
          <w:szCs w:val="28"/>
          <w:rtl/>
        </w:rPr>
        <w:t>):</w:t>
      </w:r>
      <w:r w:rsidRPr="008E0422">
        <w:rPr>
          <w:rFonts w:ascii="Calibri" w:hAnsi="Calibri" w:cs="Calibri"/>
          <w:sz w:val="28"/>
          <w:szCs w:val="28"/>
          <w:rtl/>
        </w:rPr>
        <w:t xml:space="preserve"> إجمالي الديون ÷ حقوق المساهمين</w:t>
      </w:r>
      <w:r w:rsidR="00F0655E"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 w:rsidR="00F0655E"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توضح درجة المخاطرة التمويلية.</w:t>
      </w:r>
    </w:p>
    <w:p w14:paraId="6113745F" w14:textId="16A4B56D" w:rsidR="008E0422" w:rsidRDefault="008E0422">
      <w:pPr>
        <w:numPr>
          <w:ilvl w:val="0"/>
          <w:numId w:val="8"/>
        </w:numPr>
        <w:jc w:val="both"/>
        <w:rPr>
          <w:rFonts w:ascii="Calibri" w:hAnsi="Calibri" w:cs="Calibri"/>
          <w:sz w:val="28"/>
          <w:szCs w:val="28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نسبة تغطية الفوائد:</w:t>
      </w:r>
      <w:r w:rsidRPr="008E0422">
        <w:rPr>
          <w:rFonts w:ascii="Calibri" w:hAnsi="Calibri" w:cs="Calibri"/>
          <w:sz w:val="28"/>
          <w:szCs w:val="28"/>
          <w:rtl/>
        </w:rPr>
        <w:t xml:space="preserve"> الأرباح قبل الفوائد والضرائب (</w:t>
      </w:r>
      <w:r w:rsidRPr="008E0422">
        <w:rPr>
          <w:rFonts w:ascii="Calibri" w:hAnsi="Calibri" w:cs="Calibri"/>
          <w:sz w:val="28"/>
          <w:szCs w:val="28"/>
          <w:lang w:bidi="ar-EG"/>
        </w:rPr>
        <w:t>EBIT</w:t>
      </w:r>
      <w:r w:rsidRPr="008E0422">
        <w:rPr>
          <w:rFonts w:ascii="Calibri" w:hAnsi="Calibri" w:cs="Calibri"/>
          <w:sz w:val="28"/>
          <w:szCs w:val="28"/>
          <w:rtl/>
        </w:rPr>
        <w:t>) ÷ مصروف الفوائد</w:t>
      </w:r>
      <w:r w:rsidR="00F0655E"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 w:rsidR="00F0655E"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تقيس القدرة على سداد تكاليف التمويل.</w:t>
      </w:r>
    </w:p>
    <w:p w14:paraId="133280F1" w14:textId="77777777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</w:p>
    <w:p w14:paraId="42643EFF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0070C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4. تحليل تدفقات السيولة (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lang w:bidi="ar-EG"/>
        </w:rPr>
        <w:t>Cash Flow Analysis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)</w:t>
      </w:r>
    </w:p>
    <w:p w14:paraId="75CE74C2" w14:textId="5C813578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لا تعبر الأرباح المحاسبية دائماً عن السيولة الفعلية</w:t>
      </w:r>
      <w:r w:rsidR="00F0655E">
        <w:rPr>
          <w:rFonts w:ascii="Calibri" w:hAnsi="Calibri" w:cs="Calibri" w:hint="cs"/>
          <w:sz w:val="28"/>
          <w:szCs w:val="28"/>
          <w:rtl/>
        </w:rPr>
        <w:t>،</w:t>
      </w:r>
      <w:r w:rsidRPr="008E0422">
        <w:rPr>
          <w:rFonts w:ascii="Calibri" w:hAnsi="Calibri" w:cs="Calibri"/>
          <w:sz w:val="28"/>
          <w:szCs w:val="28"/>
          <w:rtl/>
        </w:rPr>
        <w:t xml:space="preserve"> </w:t>
      </w:r>
      <w:r w:rsidR="00F0655E">
        <w:rPr>
          <w:rFonts w:ascii="Calibri" w:hAnsi="Calibri" w:cs="Calibri" w:hint="cs"/>
          <w:sz w:val="28"/>
          <w:szCs w:val="28"/>
          <w:rtl/>
        </w:rPr>
        <w:t>و</w:t>
      </w:r>
      <w:r w:rsidRPr="008E0422">
        <w:rPr>
          <w:rFonts w:ascii="Calibri" w:hAnsi="Calibri" w:cs="Calibri"/>
          <w:sz w:val="28"/>
          <w:szCs w:val="28"/>
          <w:rtl/>
        </w:rPr>
        <w:t>يركز تحليل قائمة التدفقات النقدية على ثلاثة أنشطة رئيسية:</w:t>
      </w:r>
      <w:r w:rsidRPr="008E0422">
        <w:rPr>
          <w:rFonts w:ascii="Calibri" w:hAnsi="Calibri" w:cs="Calibri"/>
          <w:sz w:val="28"/>
          <w:szCs w:val="28"/>
          <w:lang w:bidi="ar-EG"/>
        </w:rPr>
        <w:br/>
      </w:r>
    </w:p>
    <w:p w14:paraId="0C621BEF" w14:textId="77777777" w:rsidR="008E0422" w:rsidRPr="008E0422" w:rsidRDefault="008E0422">
      <w:pPr>
        <w:numPr>
          <w:ilvl w:val="0"/>
          <w:numId w:val="9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الأنشطة التشغيلية:</w:t>
      </w:r>
      <w:r w:rsidRPr="008E0422">
        <w:rPr>
          <w:rFonts w:ascii="Calibri" w:hAnsi="Calibri" w:cs="Calibri"/>
          <w:sz w:val="28"/>
          <w:szCs w:val="28"/>
          <w:rtl/>
        </w:rPr>
        <w:t xml:space="preserve"> النقد الناتج من جوهر عمل الشركة (البيع والتحصيل).</w:t>
      </w:r>
    </w:p>
    <w:p w14:paraId="2AD65134" w14:textId="77777777" w:rsidR="008E0422" w:rsidRPr="008E0422" w:rsidRDefault="008E0422">
      <w:pPr>
        <w:numPr>
          <w:ilvl w:val="0"/>
          <w:numId w:val="9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الأنشطة الاستثمارية:</w:t>
      </w:r>
      <w:r w:rsidRPr="008E0422">
        <w:rPr>
          <w:rFonts w:ascii="Calibri" w:hAnsi="Calibri" w:cs="Calibri"/>
          <w:sz w:val="28"/>
          <w:szCs w:val="28"/>
          <w:rtl/>
        </w:rPr>
        <w:t xml:space="preserve"> النقد المستخدم في شراء أو بيع الأصول الثابتة والاستثمارات.</w:t>
      </w:r>
    </w:p>
    <w:p w14:paraId="7AF60643" w14:textId="77777777" w:rsidR="008E0422" w:rsidRPr="008E0422" w:rsidRDefault="008E0422">
      <w:pPr>
        <w:numPr>
          <w:ilvl w:val="0"/>
          <w:numId w:val="9"/>
        </w:num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الأنشطة التمويلية:</w:t>
      </w:r>
      <w:r w:rsidRPr="008E0422">
        <w:rPr>
          <w:rFonts w:ascii="Calibri" w:hAnsi="Calibri" w:cs="Calibri"/>
          <w:sz w:val="28"/>
          <w:szCs w:val="28"/>
          <w:rtl/>
        </w:rPr>
        <w:t xml:space="preserve"> النقد المتعلق بالقروض، زيادة رأس المال، وتوزيعات الأرباح.</w:t>
      </w:r>
    </w:p>
    <w:p w14:paraId="4B5B3864" w14:textId="77777777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</w:p>
    <w:p w14:paraId="058F3E81" w14:textId="77777777" w:rsidR="008E0422" w:rsidRDefault="008E0422" w:rsidP="008E0422">
      <w:pPr>
        <w:jc w:val="both"/>
        <w:rPr>
          <w:rFonts w:ascii="Calibri" w:hAnsi="Calibri" w:cs="Calibri"/>
          <w:sz w:val="28"/>
          <w:szCs w:val="28"/>
          <w:rtl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lastRenderedPageBreak/>
        <w:t>مؤشر هام:</w:t>
      </w:r>
      <w:r w:rsidRPr="008E0422">
        <w:rPr>
          <w:rFonts w:ascii="Calibri" w:hAnsi="Calibri" w:cs="Calibri"/>
          <w:sz w:val="28"/>
          <w:szCs w:val="28"/>
          <w:rtl/>
        </w:rPr>
        <w:t xml:space="preserve"> التدفق النقدي الحر (</w:t>
      </w:r>
      <w:r w:rsidRPr="008E0422">
        <w:rPr>
          <w:rFonts w:ascii="Calibri" w:hAnsi="Calibri" w:cs="Calibri"/>
          <w:sz w:val="28"/>
          <w:szCs w:val="28"/>
          <w:lang w:bidi="ar-EG"/>
        </w:rPr>
        <w:t>Free Cash Flow</w:t>
      </w:r>
      <w:r w:rsidRPr="008E0422">
        <w:rPr>
          <w:rFonts w:ascii="Calibri" w:hAnsi="Calibri" w:cs="Calibri"/>
          <w:sz w:val="28"/>
          <w:szCs w:val="28"/>
          <w:rtl/>
        </w:rPr>
        <w:t>) هو النقد المتبقي بعد تغطية المصاريف الرأسمالية، وهو المصدر الأساسي لتوسيع الأعمال أو توزيع الأرباح.</w:t>
      </w:r>
    </w:p>
    <w:p w14:paraId="1AAC0302" w14:textId="77777777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lang w:bidi="ar-EG"/>
        </w:rPr>
      </w:pPr>
    </w:p>
    <w:p w14:paraId="635D9D19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0070C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5. تحليل نقطة التعادل (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lang w:bidi="ar-EG"/>
        </w:rPr>
        <w:t>Break-even Analysis</w:t>
      </w: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)</w:t>
      </w:r>
    </w:p>
    <w:p w14:paraId="2E7806A5" w14:textId="01986944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تعد أداة حيوية للتخطيط واتخاذ القرار بشأن التسعير وحجم الإنتاج.</w:t>
      </w:r>
    </w:p>
    <w:p w14:paraId="4DA3B33E" w14:textId="77777777" w:rsidR="008E0422" w:rsidRPr="008E0422" w:rsidRDefault="008E0422">
      <w:pPr>
        <w:numPr>
          <w:ilvl w:val="0"/>
          <w:numId w:val="10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التعريف:</w:t>
      </w:r>
      <w:r w:rsidRPr="008E0422">
        <w:rPr>
          <w:rFonts w:ascii="Calibri" w:hAnsi="Calibri" w:cs="Calibri"/>
          <w:sz w:val="28"/>
          <w:szCs w:val="28"/>
          <w:rtl/>
        </w:rPr>
        <w:t xml:space="preserve"> هي النقطة التي تتساوى عندها التكاليف الكلية (الثابتة والمتغيرة) مع إجمالي الإيرادات، بحيث يكون الربح صفراً.</w:t>
      </w:r>
    </w:p>
    <w:p w14:paraId="1C20406B" w14:textId="77777777" w:rsidR="008E0422" w:rsidRDefault="008E0422">
      <w:pPr>
        <w:numPr>
          <w:ilvl w:val="0"/>
          <w:numId w:val="10"/>
        </w:numPr>
        <w:jc w:val="both"/>
        <w:rPr>
          <w:rFonts w:ascii="Calibri" w:hAnsi="Calibri" w:cs="Calibri"/>
          <w:sz w:val="28"/>
          <w:szCs w:val="28"/>
        </w:rPr>
      </w:pPr>
      <w:r w:rsidRPr="008E0422">
        <w:rPr>
          <w:rFonts w:ascii="Calibri" w:hAnsi="Calibri" w:cs="Calibri"/>
          <w:b/>
          <w:bCs/>
          <w:sz w:val="28"/>
          <w:szCs w:val="28"/>
          <w:rtl/>
        </w:rPr>
        <w:t>المعادلة:</w:t>
      </w:r>
      <w:r w:rsidRPr="008E0422">
        <w:rPr>
          <w:rFonts w:ascii="Calibri" w:hAnsi="Calibri" w:cs="Calibri"/>
          <w:sz w:val="28"/>
          <w:szCs w:val="28"/>
          <w:rtl/>
        </w:rPr>
        <w:t xml:space="preserve"> نقطة التعادل (بالوحدات) = التكاليف الثابتة ÷ (سعر بيع الوحدة - التكلفة المتغيرة للوحدة).</w:t>
      </w:r>
    </w:p>
    <w:p w14:paraId="75A15E70" w14:textId="77777777" w:rsidR="008E0422" w:rsidRPr="008E0422" w:rsidRDefault="008E0422" w:rsidP="008E0422">
      <w:pPr>
        <w:ind w:left="360"/>
        <w:jc w:val="both"/>
        <w:rPr>
          <w:rFonts w:ascii="Calibri" w:hAnsi="Calibri" w:cs="Calibri"/>
          <w:sz w:val="28"/>
          <w:szCs w:val="28"/>
          <w:rtl/>
        </w:rPr>
      </w:pPr>
    </w:p>
    <w:p w14:paraId="1C541C1E" w14:textId="77777777" w:rsidR="008E0422" w:rsidRPr="008E0422" w:rsidRDefault="008E0422" w:rsidP="008E0422">
      <w:pPr>
        <w:jc w:val="both"/>
        <w:rPr>
          <w:rFonts w:ascii="Calibri" w:hAnsi="Calibri" w:cs="Calibri"/>
          <w:b/>
          <w:bCs/>
          <w:color w:val="0070C0"/>
          <w:sz w:val="28"/>
          <w:szCs w:val="28"/>
          <w:rtl/>
        </w:rPr>
      </w:pPr>
      <w:r w:rsidRPr="008E0422">
        <w:rPr>
          <w:rFonts w:ascii="Calibri" w:hAnsi="Calibri" w:cs="Calibri"/>
          <w:b/>
          <w:bCs/>
          <w:color w:val="0070C0"/>
          <w:sz w:val="28"/>
          <w:szCs w:val="28"/>
          <w:rtl/>
        </w:rPr>
        <w:t>6. البرامج والأدوات الحديثة في التحليل المالي</w:t>
      </w:r>
    </w:p>
    <w:p w14:paraId="3D19C565" w14:textId="53FC13AE" w:rsidR="008E0422" w:rsidRPr="008E0422" w:rsidRDefault="008E0422" w:rsidP="008E0422">
      <w:pPr>
        <w:jc w:val="both"/>
        <w:rPr>
          <w:rFonts w:ascii="Calibri" w:hAnsi="Calibri" w:cs="Calibri"/>
          <w:sz w:val="28"/>
          <w:szCs w:val="28"/>
          <w:rtl/>
        </w:rPr>
      </w:pPr>
      <w:r w:rsidRPr="008E0422">
        <w:rPr>
          <w:rFonts w:ascii="Calibri" w:hAnsi="Calibri" w:cs="Calibri"/>
          <w:sz w:val="28"/>
          <w:szCs w:val="28"/>
          <w:rtl/>
        </w:rPr>
        <w:t>تطورت أدوات التحليل المالي من الورقة والقلم إلى برمجيات متقدمة تزيد من دقة وسرعة المعالجة:</w:t>
      </w:r>
      <w:r w:rsidRPr="008E0422">
        <w:rPr>
          <w:rFonts w:ascii="Calibri" w:hAnsi="Calibri" w:cs="Calibri"/>
          <w:sz w:val="28"/>
          <w:szCs w:val="28"/>
          <w:lang w:bidi="ar-EG"/>
        </w:rPr>
        <w:br/>
      </w:r>
    </w:p>
    <w:p w14:paraId="3232B191" w14:textId="4E9BCF40" w:rsidR="008E0422" w:rsidRPr="008E0422" w:rsidRDefault="008E0422">
      <w:pPr>
        <w:numPr>
          <w:ilvl w:val="0"/>
          <w:numId w:val="11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Microsoft Excel</w:t>
      </w:r>
      <w:r w:rsidRPr="008E0422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: </w:t>
      </w:r>
      <w:r w:rsidRPr="008E0422">
        <w:rPr>
          <w:rFonts w:ascii="Calibri" w:hAnsi="Calibri" w:cs="Calibri"/>
          <w:sz w:val="28"/>
          <w:szCs w:val="28"/>
          <w:rtl/>
          <w:lang w:bidi="ar-EG"/>
        </w:rPr>
        <w:t>الأداة الأكثر انتشاراً، وتتميز بمرونة عالية في بناء النماذج المالية والتحليل الإحصائي والجداول المحورية (</w:t>
      </w:r>
      <w:r w:rsidRPr="008E0422">
        <w:rPr>
          <w:rFonts w:ascii="Calibri" w:hAnsi="Calibri" w:cs="Calibri"/>
          <w:sz w:val="28"/>
          <w:szCs w:val="28"/>
          <w:lang w:bidi="ar-EG"/>
        </w:rPr>
        <w:t>Pivot Tables</w:t>
      </w:r>
      <w:r w:rsidRPr="008E0422">
        <w:rPr>
          <w:rFonts w:ascii="Calibri" w:hAnsi="Calibri" w:cs="Calibri"/>
          <w:sz w:val="28"/>
          <w:szCs w:val="28"/>
          <w:rtl/>
          <w:lang w:bidi="ar-EG"/>
        </w:rPr>
        <w:t>).</w:t>
      </w:r>
    </w:p>
    <w:p w14:paraId="576DFDA7" w14:textId="6D8A14D9" w:rsidR="008E0422" w:rsidRPr="008E0422" w:rsidRDefault="008E0422">
      <w:pPr>
        <w:numPr>
          <w:ilvl w:val="0"/>
          <w:numId w:val="11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8E0422">
        <w:rPr>
          <w:rFonts w:ascii="Calibri" w:hAnsi="Calibri" w:cs="Calibri"/>
          <w:b/>
          <w:bCs/>
          <w:sz w:val="28"/>
          <w:szCs w:val="28"/>
          <w:lang w:bidi="ar-EG"/>
        </w:rPr>
        <w:t>Power BI</w:t>
      </w:r>
      <w:r w:rsidRPr="008E0422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: </w:t>
      </w:r>
      <w:r w:rsidRPr="008E0422">
        <w:rPr>
          <w:rFonts w:ascii="Calibri" w:hAnsi="Calibri" w:cs="Calibri"/>
          <w:sz w:val="28"/>
          <w:szCs w:val="28"/>
          <w:rtl/>
          <w:lang w:bidi="ar-EG"/>
        </w:rPr>
        <w:t>يستخدم لتحويل البيانات المالية المعقدة إلى لوحات معلومات (</w:t>
      </w:r>
      <w:r w:rsidRPr="008E0422">
        <w:rPr>
          <w:rFonts w:ascii="Calibri" w:hAnsi="Calibri" w:cs="Calibri"/>
          <w:sz w:val="28"/>
          <w:szCs w:val="28"/>
          <w:lang w:bidi="ar-EG"/>
        </w:rPr>
        <w:t>Dashboards</w:t>
      </w:r>
      <w:r w:rsidRPr="008E0422">
        <w:rPr>
          <w:rFonts w:ascii="Calibri" w:hAnsi="Calibri" w:cs="Calibri"/>
          <w:sz w:val="28"/>
          <w:szCs w:val="28"/>
          <w:rtl/>
          <w:lang w:bidi="ar-EG"/>
        </w:rPr>
        <w:t>) تفاعلية ورسوم بيانية تسهل مراقبة مؤشرات الأداء الرئيسي (</w:t>
      </w:r>
      <w:r w:rsidRPr="008E0422">
        <w:rPr>
          <w:rFonts w:ascii="Calibri" w:hAnsi="Calibri" w:cs="Calibri"/>
          <w:sz w:val="28"/>
          <w:szCs w:val="28"/>
          <w:lang w:bidi="ar-EG"/>
        </w:rPr>
        <w:t>KPIs</w:t>
      </w:r>
      <w:r w:rsidRPr="008E0422">
        <w:rPr>
          <w:rFonts w:ascii="Calibri" w:hAnsi="Calibri" w:cs="Calibri"/>
          <w:sz w:val="28"/>
          <w:szCs w:val="28"/>
          <w:rtl/>
          <w:lang w:bidi="ar-EG"/>
        </w:rPr>
        <w:t>).</w:t>
      </w:r>
    </w:p>
    <w:p w14:paraId="585ABE93" w14:textId="77777777" w:rsidR="00F0655E" w:rsidRPr="00F0655E" w:rsidRDefault="00F0655E">
      <w:pPr>
        <w:numPr>
          <w:ilvl w:val="0"/>
          <w:numId w:val="11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F0655E">
        <w:rPr>
          <w:rFonts w:ascii="Calibri" w:hAnsi="Calibri" w:cs="Calibri"/>
          <w:b/>
          <w:bCs/>
          <w:sz w:val="28"/>
          <w:szCs w:val="28"/>
          <w:lang w:bidi="ar-EG"/>
        </w:rPr>
        <w:t>SPSS</w:t>
      </w:r>
      <w:r w:rsidRPr="00F0655E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: </w:t>
      </w:r>
      <w:r w:rsidRPr="00F0655E">
        <w:rPr>
          <w:rFonts w:ascii="Calibri" w:hAnsi="Calibri" w:cs="Calibri"/>
          <w:sz w:val="28"/>
          <w:szCs w:val="28"/>
          <w:rtl/>
          <w:lang w:bidi="ar-EG"/>
        </w:rPr>
        <w:t>برنامج متخصص في التحليل الإحصائي، يستخدم في الأبحاث المالية المتقدمة لاختبار الفرضيات وتحليل التباين.</w:t>
      </w:r>
    </w:p>
    <w:p w14:paraId="7EA9429B" w14:textId="2C13BD4C" w:rsidR="00F0655E" w:rsidRPr="00F0655E" w:rsidRDefault="00F0655E">
      <w:pPr>
        <w:numPr>
          <w:ilvl w:val="0"/>
          <w:numId w:val="11"/>
        </w:numPr>
        <w:jc w:val="both"/>
        <w:rPr>
          <w:rFonts w:ascii="Calibri" w:hAnsi="Calibri" w:cs="Calibri"/>
          <w:sz w:val="28"/>
          <w:szCs w:val="28"/>
          <w:lang w:bidi="ar-EG"/>
        </w:rPr>
      </w:pPr>
      <w:r w:rsidRPr="00F0655E">
        <w:rPr>
          <w:rFonts w:ascii="Calibri" w:hAnsi="Calibri" w:cs="Calibri"/>
          <w:b/>
          <w:bCs/>
          <w:sz w:val="28"/>
          <w:szCs w:val="28"/>
          <w:lang w:bidi="ar-EG"/>
        </w:rPr>
        <w:t>EViews</w:t>
      </w:r>
      <w:r w:rsidRPr="00F0655E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: </w:t>
      </w:r>
      <w:r w:rsidRPr="00F0655E">
        <w:rPr>
          <w:rFonts w:ascii="Calibri" w:hAnsi="Calibri" w:cs="Calibri"/>
          <w:sz w:val="28"/>
          <w:szCs w:val="28"/>
          <w:rtl/>
          <w:lang w:bidi="ar-EG"/>
        </w:rPr>
        <w:t>أداة قوية للاقتصاد القياسي، تُستخدم للتنبؤ بالسلاسل الزمنية المالية وتحليل الانحدار المتقدم لتقدير الاتجاهات المستقبلية للسوق.</w:t>
      </w:r>
    </w:p>
    <w:p w14:paraId="74FE5FDB" w14:textId="04370C66" w:rsidR="00CA6759" w:rsidRPr="008E0422" w:rsidRDefault="00CA6759" w:rsidP="008E0422">
      <w:pPr>
        <w:jc w:val="both"/>
        <w:rPr>
          <w:rFonts w:ascii="Calibri" w:hAnsi="Calibri" w:cs="Calibri"/>
          <w:sz w:val="28"/>
          <w:szCs w:val="28"/>
          <w:lang w:bidi="ar-EG"/>
        </w:rPr>
      </w:pPr>
    </w:p>
    <w:sectPr w:rsidR="00CA6759" w:rsidRPr="008E0422" w:rsidSect="0024041D">
      <w:headerReference w:type="default" r:id="rId8"/>
      <w:pgSz w:w="12240" w:h="15840"/>
      <w:pgMar w:top="1440" w:right="1440" w:bottom="1440" w:left="1440" w:header="720" w:footer="720" w:gutter="0"/>
      <w:pgBorders w:offsetFrom="page">
        <w:top w:val="single" w:sz="12" w:space="24" w:color="FFC000" w:shadow="1"/>
        <w:left w:val="single" w:sz="12" w:space="24" w:color="FFC000" w:shadow="1"/>
        <w:bottom w:val="single" w:sz="12" w:space="24" w:color="FFC000" w:shadow="1"/>
        <w:right w:val="single" w:sz="12" w:space="24" w:color="FFC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4BBB6" w14:textId="77777777" w:rsidR="00DB2C7E" w:rsidRDefault="00DB2C7E" w:rsidP="0024041D">
      <w:pPr>
        <w:spacing w:after="0" w:line="240" w:lineRule="auto"/>
      </w:pPr>
      <w:r>
        <w:separator/>
      </w:r>
    </w:p>
  </w:endnote>
  <w:endnote w:type="continuationSeparator" w:id="0">
    <w:p w14:paraId="030A9896" w14:textId="77777777" w:rsidR="00DB2C7E" w:rsidRDefault="00DB2C7E" w:rsidP="00240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878E6" w14:textId="77777777" w:rsidR="00DB2C7E" w:rsidRDefault="00DB2C7E" w:rsidP="0024041D">
      <w:pPr>
        <w:spacing w:after="0" w:line="240" w:lineRule="auto"/>
      </w:pPr>
      <w:r>
        <w:separator/>
      </w:r>
    </w:p>
  </w:footnote>
  <w:footnote w:type="continuationSeparator" w:id="0">
    <w:p w14:paraId="5E8B9210" w14:textId="77777777" w:rsidR="00DB2C7E" w:rsidRDefault="00DB2C7E" w:rsidP="00240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15D1" w14:textId="6B12395F" w:rsidR="0024041D" w:rsidRDefault="0024041D" w:rsidP="0024041D">
    <w:pPr>
      <w:pStyle w:val="Header"/>
      <w:jc w:val="center"/>
    </w:pPr>
    <w:r>
      <w:rPr>
        <w:noProof/>
        <w:rtl/>
        <w:lang w:val="ar-SA"/>
      </w:rPr>
      <w:drawing>
        <wp:inline distT="0" distB="0" distL="0" distR="0" wp14:anchorId="352FEC3F" wp14:editId="0A86F4BF">
          <wp:extent cx="3095625" cy="1076325"/>
          <wp:effectExtent l="0" t="0" r="0" b="0"/>
          <wp:docPr id="12484135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413519" name="Picture 12484135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25" cy="1076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B95"/>
    <w:multiLevelType w:val="multilevel"/>
    <w:tmpl w:val="1BC4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97DE2"/>
    <w:multiLevelType w:val="multilevel"/>
    <w:tmpl w:val="297C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5174F"/>
    <w:multiLevelType w:val="multilevel"/>
    <w:tmpl w:val="C1DE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83213"/>
    <w:multiLevelType w:val="multilevel"/>
    <w:tmpl w:val="889A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C32B1"/>
    <w:multiLevelType w:val="multilevel"/>
    <w:tmpl w:val="DF46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8318C0"/>
    <w:multiLevelType w:val="multilevel"/>
    <w:tmpl w:val="5014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B41D8"/>
    <w:multiLevelType w:val="multilevel"/>
    <w:tmpl w:val="681C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623A0E"/>
    <w:multiLevelType w:val="multilevel"/>
    <w:tmpl w:val="C850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B327D6"/>
    <w:multiLevelType w:val="multilevel"/>
    <w:tmpl w:val="D5A0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467897"/>
    <w:multiLevelType w:val="multilevel"/>
    <w:tmpl w:val="F6F6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945857"/>
    <w:multiLevelType w:val="multilevel"/>
    <w:tmpl w:val="6EF0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889275">
    <w:abstractNumId w:val="6"/>
  </w:num>
  <w:num w:numId="2" w16cid:durableId="1805658754">
    <w:abstractNumId w:val="1"/>
  </w:num>
  <w:num w:numId="3" w16cid:durableId="192117325">
    <w:abstractNumId w:val="0"/>
  </w:num>
  <w:num w:numId="4" w16cid:durableId="1658613697">
    <w:abstractNumId w:val="3"/>
  </w:num>
  <w:num w:numId="5" w16cid:durableId="1851405427">
    <w:abstractNumId w:val="9"/>
  </w:num>
  <w:num w:numId="6" w16cid:durableId="208881137">
    <w:abstractNumId w:val="7"/>
  </w:num>
  <w:num w:numId="7" w16cid:durableId="2146653844">
    <w:abstractNumId w:val="8"/>
  </w:num>
  <w:num w:numId="8" w16cid:durableId="1802117092">
    <w:abstractNumId w:val="5"/>
  </w:num>
  <w:num w:numId="9" w16cid:durableId="364452541">
    <w:abstractNumId w:val="4"/>
  </w:num>
  <w:num w:numId="10" w16cid:durableId="596329466">
    <w:abstractNumId w:val="10"/>
  </w:num>
  <w:num w:numId="11" w16cid:durableId="173704538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1D"/>
    <w:rsid w:val="000545B3"/>
    <w:rsid w:val="000B1EB7"/>
    <w:rsid w:val="000B688D"/>
    <w:rsid w:val="000D33A2"/>
    <w:rsid w:val="001872F5"/>
    <w:rsid w:val="001E3D93"/>
    <w:rsid w:val="00201A05"/>
    <w:rsid w:val="002041D0"/>
    <w:rsid w:val="0024041D"/>
    <w:rsid w:val="00297FFD"/>
    <w:rsid w:val="002A57CB"/>
    <w:rsid w:val="003551FD"/>
    <w:rsid w:val="0036128E"/>
    <w:rsid w:val="00507C34"/>
    <w:rsid w:val="00520FAB"/>
    <w:rsid w:val="00612F55"/>
    <w:rsid w:val="00614D05"/>
    <w:rsid w:val="00733C27"/>
    <w:rsid w:val="00734CD0"/>
    <w:rsid w:val="00772082"/>
    <w:rsid w:val="00820350"/>
    <w:rsid w:val="00857056"/>
    <w:rsid w:val="008A1021"/>
    <w:rsid w:val="008E0422"/>
    <w:rsid w:val="00955C52"/>
    <w:rsid w:val="00972B7D"/>
    <w:rsid w:val="0097462E"/>
    <w:rsid w:val="00993CA9"/>
    <w:rsid w:val="0099417A"/>
    <w:rsid w:val="009A7633"/>
    <w:rsid w:val="009F37C9"/>
    <w:rsid w:val="009F6262"/>
    <w:rsid w:val="00A35044"/>
    <w:rsid w:val="00AB3F86"/>
    <w:rsid w:val="00B13EE0"/>
    <w:rsid w:val="00B51830"/>
    <w:rsid w:val="00B939CB"/>
    <w:rsid w:val="00BA7ADE"/>
    <w:rsid w:val="00CA6759"/>
    <w:rsid w:val="00CD2EFF"/>
    <w:rsid w:val="00CE5F29"/>
    <w:rsid w:val="00D31CDE"/>
    <w:rsid w:val="00D325B1"/>
    <w:rsid w:val="00DA38E8"/>
    <w:rsid w:val="00DB2C7E"/>
    <w:rsid w:val="00DF662E"/>
    <w:rsid w:val="00E64485"/>
    <w:rsid w:val="00EB70EF"/>
    <w:rsid w:val="00F0655E"/>
    <w:rsid w:val="00F7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66294"/>
  <w15:chartTrackingRefBased/>
  <w15:docId w15:val="{3DDCD78C-9ACA-40EE-8825-2B07B367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4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0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41D"/>
  </w:style>
  <w:style w:type="paragraph" w:styleId="Footer">
    <w:name w:val="footer"/>
    <w:basedOn w:val="Normal"/>
    <w:link w:val="FooterChar"/>
    <w:uiPriority w:val="99"/>
    <w:unhideWhenUsed/>
    <w:rsid w:val="00240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41D"/>
  </w:style>
  <w:style w:type="table" w:styleId="GridTable4-Accent4">
    <w:name w:val="Grid Table 4 Accent 4"/>
    <w:basedOn w:val="TableNormal"/>
    <w:uiPriority w:val="49"/>
    <w:rsid w:val="00B13EE0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Grid">
    <w:name w:val="Table Grid"/>
    <w:basedOn w:val="TableNormal"/>
    <w:uiPriority w:val="39"/>
    <w:rsid w:val="00B1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4">
    <w:name w:val="List Table 3 Accent 4"/>
    <w:basedOn w:val="TableNormal"/>
    <w:uiPriority w:val="48"/>
    <w:rsid w:val="00201A05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2-Accent4">
    <w:name w:val="List Table 2 Accent 4"/>
    <w:basedOn w:val="TableNormal"/>
    <w:uiPriority w:val="47"/>
    <w:rsid w:val="00201A05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4">
    <w:name w:val="Grid Table 2 Accent 4"/>
    <w:basedOn w:val="TableNormal"/>
    <w:uiPriority w:val="47"/>
    <w:rsid w:val="00201A05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1Light-Accent4">
    <w:name w:val="Grid Table 1 Light Accent 4"/>
    <w:basedOn w:val="TableNormal"/>
    <w:uiPriority w:val="46"/>
    <w:rsid w:val="00201A05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4">
    <w:name w:val="Grid Table 6 Colorful Accent 4"/>
    <w:basedOn w:val="TableNormal"/>
    <w:uiPriority w:val="51"/>
    <w:rsid w:val="00201A0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01A0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4">
    <w:name w:val="List Table 4 Accent 4"/>
    <w:basedOn w:val="TableNormal"/>
    <w:uiPriority w:val="49"/>
    <w:rsid w:val="00772082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8A10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34559-6A95-48E3-9C0C-A05F8BE01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menna gamal</dc:creator>
  <cp:keywords/>
  <dc:description/>
  <cp:lastModifiedBy>menna gamal</cp:lastModifiedBy>
  <cp:revision>2</cp:revision>
  <cp:lastPrinted>2026-09-07T08:57:00Z</cp:lastPrinted>
  <dcterms:created xsi:type="dcterms:W3CDTF">2026-09-17T06:47:00Z</dcterms:created>
  <dcterms:modified xsi:type="dcterms:W3CDTF">2026-09-17T06:47:00Z</dcterms:modified>
</cp:coreProperties>
</file>